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3001988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w:t>
      </w:r>
      <w:r w:rsidR="001A09FE">
        <w:rPr>
          <w:iCs/>
        </w:rPr>
        <w:t>6</w:t>
      </w:r>
      <w:r w:rsidR="001A09FE" w:rsidRPr="003A3120">
        <w:rPr>
          <w:iCs/>
        </w:rPr>
        <w:t>0 (</w:t>
      </w:r>
      <w:r w:rsidR="001A09FE">
        <w:rPr>
          <w:iCs/>
        </w:rPr>
        <w:t>шестидесяти</w:t>
      </w:r>
      <w:r w:rsidR="001A09FE" w:rsidRPr="003A3120">
        <w:rPr>
          <w:iCs/>
        </w:rPr>
        <w:t>) к</w:t>
      </w:r>
      <w:r w:rsidR="001A09FE" w:rsidRPr="003A3120">
        <w:rPr>
          <w:iCs/>
        </w:rPr>
        <w:t>а</w:t>
      </w:r>
      <w:r w:rsidR="001A09FE" w:rsidRPr="003A3120">
        <w:rPr>
          <w:iCs/>
        </w:rPr>
        <w:t xml:space="preserve">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D82" w:rsidRDefault="003F6D82">
      <w:r>
        <w:separator/>
      </w:r>
    </w:p>
  </w:endnote>
  <w:endnote w:type="continuationSeparator" w:id="0">
    <w:p w:rsidR="003F6D82" w:rsidRDefault="003F6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D82" w:rsidRDefault="003F6D82">
      <w:r>
        <w:separator/>
      </w:r>
    </w:p>
  </w:footnote>
  <w:footnote w:type="continuationSeparator" w:id="0">
    <w:p w:rsidR="003F6D82" w:rsidRDefault="003F6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A09F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967CA-C340-4DB3-B99E-AC98FEF3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589</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2016-07-14T11:45:00Z</dcterms:modified>
</cp:coreProperties>
</file>